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INSTRUCTIONN 15 (Amendment No. 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Subject: Standards for the fight against  laundering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moneyand terrorist financing _____________________________________________</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Central Bank of Congo, in accordance with Articles 6 and 31 of Law No. 005/2002 of 7 May 2002 concerning its constitution, its organization and its operation, 75 of Law No. 003/2002 from 02 February 2002 relating to the activity and supervision of credit institutions and the Law No. 04/016 of 19 July 2004 fight against money laundering and terrorist financing shall adopt the following standards: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PART I: tHE SCOPE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shall be subject to this statement: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credit institutions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-financial messaging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-offices exchange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microfinance institutions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term subject refers to the result of the four categories mentioned above instruction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 the purposes of the application of this Directive, are considered as constituting money laundering, deeds hereinafter committed intentionally:</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conversion, transfer or manipulation of property for the purpose of concealing or disguising the illicit origin of the property or of helping any person who is involved in the predicate offense to evade the legal consequences of his actions;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2. the concealment or disguise of the nature, origin, location, disposition, movement or ownership of real property;</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3. the acquisition, possession or use of property by a person who knows, suspects or should have known that such property constitutes proceeds of crime.</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the sense of the aforementioned Law, the offense of terrorist financing is the provision, collect, gather or handle by any means, directly or indirectly, funds, securities or property with the intention of used or knowing that they will be used, in whole or in part to commit an act of terrorism regardless of the occurrence of such an act.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taxable persons referred to in Article 1 of this Directive should fully support the implementation of Law No. 04 / 016 of 19 July 2004 by the implementation of the necessary means for the prevention of money laundering acts and terrorist financingII.</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oF vIGILANCE OBLIGATIONS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MONITORING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4</w:t>
      </w:r>
    </w:p>
    <w:p w:rsidR="00000000" w:rsidDel="00000000" w:rsidP="00000000" w:rsidRDefault="00000000" w:rsidRPr="00000000">
      <w:pPr>
        <w:keepNext w:val="0"/>
        <w:keepLines w:val="0"/>
        <w:widowControl w:val="0"/>
        <w:spacing w:after="100" w:before="0" w:line="276" w:lineRule="auto"/>
        <w:ind w:left="0" w:right="0" w:firstLine="141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vigilance provisions on transparency in financial transactions require taxable persons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ensure the identity and address of the customer  the time of</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atentry in connection with the presentation of any documentary proof. They ensure under the same conditions of the identity of their occasional client who asks them to operations whose nature and amount are set by Law No. 04/016 of 19 July 2004;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monitoroperations.</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theAfter this statement, for the occasional customer means any person having no account in a credit institution and which, therefore the identification formalities and possible capacity to act have not been previously met.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II.1. THE CUSTOMER IDENTIFICATION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5</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must ensure that the identity of their customers and address and, if applicable, their beneficial owners in the following situations:</w:t>
      </w:r>
    </w:p>
    <w:p w:rsidR="00000000" w:rsidDel="00000000" w:rsidP="00000000" w:rsidRDefault="00000000" w:rsidRPr="00000000">
      <w:pPr>
        <w:keepNext w:val="0"/>
        <w:keepLines w:val="0"/>
        <w:widowControl w:val="0"/>
        <w:spacing w:after="100" w:before="0" w:line="276" w:lineRule="auto"/>
        <w:ind w:left="0" w:right="0" w:firstLine="0"/>
        <w:contextualSpacing w:val="0"/>
        <w:jc w:val="righ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before establishing a relationship contractual possibly taking into account, for occasional customers, Article 9 of Law No. 04/016 of 19 July 2004; - As soon as possible for existing customers, and at the very least: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when a significant transaction occurs;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when the standards for customer identification documents change substantially;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when a significant change occurs in the way the account works;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▪when the subject realizes that he has no information about an existing customer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-when they have doubts about the veracity or  of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adequacypreviously obtainedverification.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6</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identity of an individual is made ​​by the control of a national identity card or any original document in lieu thereof, valid and photograph, which a copy is made.</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verification professional and home address is performed by controlling all documents required to produce evidence. If it is a commercial person, it is further required to provide any documentation attesting to its registration in the commercial register.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7</w:t>
      </w:r>
    </w:p>
    <w:p w:rsidR="00000000" w:rsidDel="00000000" w:rsidP="00000000" w:rsidRDefault="00000000" w:rsidRPr="00000000">
      <w:pPr>
        <w:keepNext w:val="0"/>
        <w:keepLines w:val="0"/>
        <w:widowControl w:val="0"/>
        <w:spacing w:after="100" w:before="0" w:line="276" w:lineRule="auto"/>
        <w:ind w:left="0" w:right="0" w:firstLine="1492.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identification of a body corporate or legal structure do not have legal personality is made ​​on the basis of the original or a certified copy of any act or extract from the official register stating its name, legal form, registered office and the powers of persons acting on its name.</w:t>
      </w:r>
    </w:p>
    <w:p w:rsidR="00000000" w:rsidDel="00000000" w:rsidP="00000000" w:rsidRDefault="00000000" w:rsidRPr="00000000">
      <w:pPr>
        <w:keepNext w:val="0"/>
        <w:keepLines w:val="0"/>
        <w:widowControl w:val="0"/>
        <w:spacing w:after="100" w:before="0" w:line="276" w:lineRule="auto"/>
        <w:ind w:left="0" w:right="0" w:firstLine="1492.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will provide the same conditions as those laid down in paragraph 2 of the previous article of the identity and the true address of persons authorized to act on their behalf.</w:t>
      </w:r>
    </w:p>
    <w:p w:rsidR="00000000" w:rsidDel="00000000" w:rsidP="00000000" w:rsidRDefault="00000000" w:rsidRPr="00000000">
      <w:pPr>
        <w:keepNext w:val="0"/>
        <w:keepLines w:val="0"/>
        <w:widowControl w:val="0"/>
        <w:spacing w:after="100" w:before="0" w:line="276" w:lineRule="auto"/>
        <w:ind w:left="0" w:right="0" w:firstLine="1492.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must have the necessary information to understand ownership and control structure of such legal persons and legal entities that do not have legal personality and determine the natural persons who ultimately own or control them.</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8</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performing their client identification obligations , taxpayers must take all appropriate measures to prohibit their opening anonymous accounts or accounts under false names or pseudonyms.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w:t>
      </w:r>
    </w:p>
    <w:p w:rsidR="00000000" w:rsidDel="00000000" w:rsidP="00000000" w:rsidRDefault="00000000" w:rsidRPr="00000000">
      <w:pPr>
        <w:keepNext w:val="0"/>
        <w:keepLines w:val="0"/>
        <w:widowControl w:val="0"/>
        <w:spacing w:after="100" w:before="0" w:line="276" w:lineRule="auto"/>
        <w:ind w:left="0" w:right="0" w:firstLine="1411.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9pursuant to Article 10 of Law No. 04/016 of 19 July 2004 in case the client does not seem to act on its own account, the taxable person for information, by any means, on the identity of the person on whose behalf he acts. After verification, if doubts persist about the identity of the beneficial owner, it must terminate the banking relationship and, if necessary, proceed as provided by Article 20 of the Law of 19 04/016 July 2004, the declaration of suspicion.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10</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Where a taxable person has the ability to open an account or perform other remote operation, it must put in place appropriate measures to ensure the customer identification .</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Such measures may include authentication of the identification presented, request additional documentation, the possibility of an independent audit of the client's situation by a third of confirmed reputation, the requirement of a first payment through an account opened in the name of the customer with a bank subject to international standards in the fight against money laundering and terrorist financing or sending a letter with acknowledgment of receipt to the customer's address.</w:t>
      </w:r>
    </w:p>
    <w:p w:rsidR="00000000" w:rsidDel="00000000" w:rsidP="00000000" w:rsidRDefault="00000000" w:rsidRPr="00000000">
      <w:pPr>
        <w:keepNext w:val="0"/>
        <w:keepLines w:val="0"/>
        <w:widowControl w:val="0"/>
        <w:spacing w:after="100" w:before="0" w:line="276" w:lineRule="auto"/>
        <w:ind w:left="0" w:right="0" w:firstLine="1492.8"/>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by international standards it means the recommendations of the Financial Action Task Force, FATF acronym.</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11</w:t>
      </w:r>
    </w:p>
    <w:p w:rsidR="00000000" w:rsidDel="00000000" w:rsidP="00000000" w:rsidRDefault="00000000" w:rsidRPr="00000000">
      <w:pPr>
        <w:keepNext w:val="0"/>
        <w:keepLines w:val="0"/>
        <w:widowControl w:val="0"/>
        <w:spacing w:after="100" w:before="0" w:line="276" w:lineRule="auto"/>
        <w:ind w:left="0" w:right="0" w:firstLine="140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taxpayers may use third parties to ensure the identification of some of their clients. In all cases, they retain responsibility for the identification of their clients. Taxable persons must: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immediately obtain third party information necessary for the identification of each client, beneficial owner and purpose of the nature of the business relationship; - Ensure that the third party may provide, upon request and in the shortest time possible, copies of identification data and other relevant documents related to due diligence on the customer; - Ensure that the third party is subject to regulation and supervision in the fight against money laundering and terrorist financing at least equivalent to the taxable person and he actually applies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II..2. MONITORING THE SPECIAL OPERATIONS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12</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exercise constant vigilance with regard to all of their operations and their clients. The duty of constant vigilance includes the duty to verify and update the information relating to the identification of the customers.</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must particularly ensure that the operations and assets entrusted to them by the persons with whom they have a business relationship are related to economic activities and heritage. To do this, they must have a permanent understanding of expected normal and reasonable account activity of their various types of customers in order to identify atypical transactions. They should for this purpose have the systems necessary for all accounts, detect atypical transactions using eg limits per account class or category or by identifying repetitive operations even for small amounts. The monitoring device must be adapted to the level of risk.</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7</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13</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define clear policies and procedures for accepting new clients including including the description of different types of customers likely to represent for them a greater risk to the average.</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These different types of customers must be distinguished taking into account the nature and extent of the risk of money laundering and financing of terrorism incurred. Factors such as the backgrounds of customers, countries of origin or residence, the origin of their funds, links between accounts, types of transactions they perform their bank accounts or their professional activities can be used for this purpose.</w:t>
      </w:r>
    </w:p>
    <w:p w:rsidR="00000000" w:rsidDel="00000000" w:rsidP="00000000" w:rsidRDefault="00000000" w:rsidRPr="00000000">
      <w:pPr>
        <w:keepNext w:val="0"/>
        <w:keepLines w:val="0"/>
        <w:widowControl w:val="0"/>
        <w:spacing w:after="100" w:before="0" w:line="276" w:lineRule="auto"/>
        <w:ind w:left="0" w:right="0" w:firstLine="141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admission of new clients requires approval of the supervisor in charge of client relations.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14</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specify in writing for their employees, the appropriate criteria allowing them to determine operations requiring attention, steps to be taken towards the past and the required procedure for the transmission in the regulated time, written reports to the head of the prevention of money laundering and terrorist financing. In urgent cases, an oral statement may precede the transmission of writing the report.</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policies and procedures in an institution must effectively protect its employees against any threat or sanction that would follow the written or oral transmission of information by state money laundering suspicions of terrorist financing.</w:t>
      </w:r>
    </w:p>
    <w:p w:rsidR="00000000" w:rsidDel="00000000" w:rsidP="00000000" w:rsidRDefault="00000000" w:rsidRPr="00000000">
      <w:pPr>
        <w:keepNext w:val="0"/>
        <w:keepLines w:val="0"/>
        <w:widowControl w:val="0"/>
        <w:spacing w:after="100" w:before="0" w:line="276" w:lineRule="auto"/>
        <w:ind w:left="0" w:right="0" w:firstLine="141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review of operations includes in particular that of their economic justification and their apparent legitimacy.</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8</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also specify in writing for their servants responsible for monitoring, the required procedure for the transmission in the regulated time, reports written in charge of preventing money laundering and terrorist financingmust:.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monitoring system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cover all client accounts and of their operations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-be based on precise and relevant criteria set by each subject in particular taking into account the characteristics of services and products it offers and those of the customers to whom it is addressed. These criteria should be further sufficiently discriminating to allow to effectively detect atypical transactions;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produce written reports describing the atypical transactions detected and the criteria on which they are, after analysis, considered atypical; these reports are transmitted to the head of the prevention of money laundering and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allow identification and rapid reporting of these operations within the establishment and, in case of suspicion afford to make a statement suspicion of intelligence National Financial prior to completion of the operation.</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 the purposes of this section shall constitute a unique operation, a transfer or a transfer of received funds for a client and for which accurate and useful information order relating to a lack of donor.</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9</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16</w:t>
      </w:r>
    </w:p>
    <w:p w:rsidR="00000000" w:rsidDel="00000000" w:rsidP="00000000" w:rsidRDefault="00000000" w:rsidRPr="00000000">
      <w:pPr>
        <w:keepNext w:val="0"/>
        <w:keepLines w:val="0"/>
        <w:widowControl w:val="0"/>
        <w:spacing w:after="100" w:before="0" w:line="276" w:lineRule="auto"/>
        <w:ind w:left="0" w:right="0" w:firstLine="140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When the subject can not perform their due diligence with regard dune return, they can enter into or maintain a business relationship with it. In this case, they enjoy under the provisions of Article 20 of Law No. 04/016 of 19 July 2004 is necessary to inform the National Financial Intelligence Unit.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17</w:t>
      </w:r>
    </w:p>
    <w:p w:rsidR="00000000" w:rsidDel="00000000" w:rsidP="00000000" w:rsidRDefault="00000000" w:rsidRPr="00000000">
      <w:pPr>
        <w:keepNext w:val="0"/>
        <w:keepLines w:val="0"/>
        <w:widowControl w:val="0"/>
        <w:spacing w:after="100" w:before="0" w:line="276" w:lineRule="auto"/>
        <w:ind w:left="0" w:right="0" w:firstLine="1411.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bear a particular attention to financial transactions on behalf of their natural and legal persons customers including notaries, lawyers, accountants, businesses that perform as usual occupation intermediation, advice and assistance in management heritage.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18</w:t>
      </w:r>
    </w:p>
    <w:p w:rsidR="00000000" w:rsidDel="00000000" w:rsidP="00000000" w:rsidRDefault="00000000" w:rsidRPr="00000000">
      <w:pPr>
        <w:keepNext w:val="0"/>
        <w:keepLines w:val="0"/>
        <w:widowControl w:val="0"/>
        <w:spacing w:after="100" w:before="0" w:line="276" w:lineRule="auto"/>
        <w:ind w:left="0" w:right="0" w:firstLine="132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exercise greater vigilance in respect of operations by people whose mail is domiciled in a third, in a post box at the counters of a credit institution or who change address frequently.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19</w:t>
      </w:r>
    </w:p>
    <w:p w:rsidR="00000000" w:rsidDel="00000000" w:rsidP="00000000" w:rsidRDefault="00000000" w:rsidRPr="00000000">
      <w:pPr>
        <w:keepNext w:val="0"/>
        <w:keepLines w:val="0"/>
        <w:widowControl w:val="0"/>
        <w:spacing w:after="100" w:before="0" w:line="276" w:lineRule="auto"/>
        <w:ind w:left="0" w:right="0" w:firstLine="132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must have appropriate risk management systems to determine whether a potential customer, a customer or beneficial owner is a politically exposed person.</w:t>
      </w:r>
    </w:p>
    <w:p w:rsidR="00000000" w:rsidDel="00000000" w:rsidP="00000000" w:rsidRDefault="00000000" w:rsidRPr="00000000">
      <w:pPr>
        <w:keepNext w:val="0"/>
        <w:keepLines w:val="0"/>
        <w:widowControl w:val="0"/>
        <w:spacing w:after="100" w:before="0" w:line="276" w:lineRule="auto"/>
        <w:ind w:left="0" w:right="0" w:firstLine="1228.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They must learn to identify the source of wealth and origin of funds of customers and beneficial owners as politically exposed persons.</w:t>
      </w:r>
    </w:p>
    <w:p w:rsidR="00000000" w:rsidDel="00000000" w:rsidP="00000000" w:rsidRDefault="00000000" w:rsidRPr="00000000">
      <w:pPr>
        <w:keepNext w:val="0"/>
        <w:keepLines w:val="0"/>
        <w:widowControl w:val="0"/>
        <w:spacing w:after="100" w:before="0" w:line="276" w:lineRule="auto"/>
        <w:ind w:left="0" w:right="0" w:firstLine="1228.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They must apply enhanced due diligence vis-à-vis politically exposed persons, in particular with regard to those holding public office leading level National.</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10</w:t>
      </w:r>
    </w:p>
    <w:p w:rsidR="00000000" w:rsidDel="00000000" w:rsidP="00000000" w:rsidRDefault="00000000" w:rsidRPr="00000000">
      <w:pPr>
        <w:keepNext w:val="0"/>
        <w:keepLines w:val="0"/>
        <w:widowControl w:val="0"/>
        <w:spacing w:after="100" w:before="0" w:line="276" w:lineRule="auto"/>
        <w:ind w:left="0" w:right="0" w:firstLine="1228.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forpolitically exposed person (PEP), means a person who holds or has held public functions such as Head of State or Government, senior politician, officer of a public company or responsible political party. Business relationships with family members of a PEP or the persons closely associated with it have in terms of reputation risks similar to those associated with PEPs themselves.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20</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Articleshall be subject with risk management systems to identify all the transactions of their group with a client. Where required, the subject must also be able to freeze all the assets held by the same person in their books.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21</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Before any operation with a correspondent bank located abroad, a taxable person must take steps adequate to gather enough information on the correspondent bank in order to understand the nature of its activities and assess, on the basis of publicly available information the reputation of the institution and the quality of supervision, including whether the institution concerned has been the subject of investigation or intervention of the supervisory authority relating to money laundering and financing of terrorism.</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It must further assess the controls put in place by the correspondent banking in terms of the fight against money laundering and terrorist financing and specify in writing the respective responsibilities of each institution.</w:t>
      </w:r>
    </w:p>
    <w:p w:rsidR="00000000" w:rsidDel="00000000" w:rsidP="00000000" w:rsidRDefault="00000000" w:rsidRPr="00000000">
      <w:pPr>
        <w:keepNext w:val="0"/>
        <w:keepLines w:val="0"/>
        <w:widowControl w:val="0"/>
        <w:spacing w:after="100" w:before="0" w:line="276" w:lineRule="auto"/>
        <w:ind w:left="0" w:right="0" w:firstLine="141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authorization of the general direction is needed before establishing new correspondent relationships.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11</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institutions must not establish or continue a correspondent banking relationships with shell banks say that is incorporated and licensed in countries and territories where they have no physical presence, without belonging to a financial group subject to effective consolidated supervision on money laundering and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22</w:t>
      </w:r>
    </w:p>
    <w:p w:rsidR="00000000" w:rsidDel="00000000" w:rsidP="00000000" w:rsidRDefault="00000000" w:rsidRPr="00000000">
      <w:pPr>
        <w:keepNext w:val="0"/>
        <w:keepLines w:val="0"/>
        <w:widowControl w:val="0"/>
        <w:spacing w:after="100" w:before="0" w:line="276" w:lineRule="auto"/>
        <w:ind w:left="0" w:right="0" w:firstLine="139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obtain and retain information on the originator of a wire transfer and check the accuracy of this information. They need to include all of this information in the message or payment form accompanying the wire transfer.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23</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shall establish policies and procedures at the level of the parent to ensure that their subsidiaries and branches protect themselves effectively against the risk of operations used for purposes of money laundering and terrorist financing. These policies and procedures are subject to adjustment to take account of each entity characteristics (country of location, nature of the activities ...). They include provisions for communicating information to the headquarters for the effective prevention of money laundering and terrorist financing in the whole group.</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taxpayers with subsidiaries or branches located in offshore areas or countries with no regulation on the prevention of money laundering and terrorist financing at least equivalent to that applicable in the Democratic Republic of Congo or whose regulations are not effectively implemented, should ensure that such entities are equipped with a vigilance device at least as strict as that provided by this instruction.</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12</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branches and subsidiaries abroad notify their headquarters provisions of the host country who oppose the implementation of all or of the recommendations made ​​by headquarters. It shall inform the National Financial Intelligence Unit and the competent supervisory authoritydocuments:.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PART III: CONSERVATION AND UPDATING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OF DOCUMENTATION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24</w:t>
      </w:r>
    </w:p>
    <w:p w:rsidR="00000000" w:rsidDel="00000000" w:rsidP="00000000" w:rsidRDefault="00000000" w:rsidRPr="00000000">
      <w:pPr>
        <w:keepNext w:val="0"/>
        <w:keepLines w:val="0"/>
        <w:widowControl w:val="0"/>
        <w:spacing w:after="100" w:before="0" w:line="276" w:lineRule="auto"/>
        <w:ind w:left="0" w:right="0" w:firstLine="1411.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are required to keep for 10 years the relative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the identification of the customer and, after closing the</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accounts of the latter; - The identification of persons pursuant to Articles 6, 7, 9 and 11</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above;  To transactions with customers and at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-.theirdate of execution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25</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organization of document retention must in particular reconstruction of individual transactions (amount and nature of the operation) and communicate in the time required, the information requested by any authority empowered by law ie the National Financial Intelligence Unit, the Central Bank of Congo and officials responsible for the detection and prevention of money laundering and crimes related to it, . acting under a court order and the judicial authorities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26</w:t>
      </w:r>
    </w:p>
    <w:p w:rsidR="00000000" w:rsidDel="00000000" w:rsidP="00000000" w:rsidRDefault="00000000" w:rsidRPr="00000000">
      <w:pPr>
        <w:keepNext w:val="0"/>
        <w:keepLines w:val="0"/>
        <w:widowControl w:val="0"/>
        <w:spacing w:after="100" w:before="0" w:line="276" w:lineRule="auto"/>
        <w:ind w:left="0" w:right="0" w:firstLine="144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ensure regular updating of information about their customersIV.</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PROVISIONS oF INTERNAL CONTROL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tHE rEPORTING OBLIGATIONS sUSPICION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27</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must establish an internal control system by setting up an appropriate organization and formalization of internal procedures that allow detection of indications of money laundering and the subsequent declaration of suspicion.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28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Articlesubject shall:</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adopt internal written rules outlining steps to be taken for the implementation of the above legal texts and provisions of this instruction and providing guidance on the amounts and nature of the operations that must be special vigilance particularly in view of the activity performed by the subject. The rules on steps to be taken can be tailored to the nature of the contracting of the reportingabove;.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set up a monitoring system to check</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compliance with internal procedures provided</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Retain the information, statements and documents the operations referred to in Articles 11 and 20 of law No. 04/016 of 19 July 2004 by means appropriate to preserve confidentiality and to facilitate the communication as soon as possible to the service mentioned in Article 17 of the Act or the competent control authority, at its request.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29</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conditions for opening new accounts and the significance of movements of funds should be centralized controls to ensure that all information relating affected clients are available and that these movements do not involve unusual or suspicious transactions.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30</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 the purposes of Article 11 of Law No. 04/016 of 19 July 2004, taxable persons must perform a special review of any transaction that satisfies the requirements defined by that article, including transactions which</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do not seem to have any economic justification orlawful</w:t>
      </w:r>
    </w:p>
    <w:p w:rsidR="00000000" w:rsidDel="00000000" w:rsidP="00000000" w:rsidRDefault="00000000" w:rsidRPr="00000000">
      <w:pPr>
        <w:keepNext w:val="0"/>
        <w:keepLines w:val="0"/>
        <w:widowControl w:val="0"/>
        <w:spacing w:after="100" w:before="0" w:line="276" w:lineRule="auto"/>
        <w:ind w:left="0" w:right="0" w:firstLine="422.40000000000003"/>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apparentpurpose;- Relate to amounts incommensurate with those</w:t>
      </w:r>
    </w:p>
    <w:p w:rsidR="00000000" w:rsidDel="00000000" w:rsidP="00000000" w:rsidRDefault="00000000" w:rsidRPr="00000000">
      <w:pPr>
        <w:keepNext w:val="0"/>
        <w:keepLines w:val="0"/>
        <w:widowControl w:val="0"/>
        <w:spacing w:after="100" w:before="0" w:line="276" w:lineRule="auto"/>
        <w:ind w:left="0" w:right="0" w:firstLine="422.40000000000003"/>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usually made ​​by the customer; - Are presented in unusual conditions of complexitytransaction.</w:t>
      </w:r>
    </w:p>
    <w:p w:rsidR="00000000" w:rsidDel="00000000" w:rsidP="00000000" w:rsidRDefault="00000000" w:rsidRPr="00000000">
      <w:pPr>
        <w:keepNext w:val="0"/>
        <w:keepLines w:val="0"/>
        <w:widowControl w:val="0"/>
        <w:spacing w:after="100" w:before="0" w:line="276" w:lineRule="auto"/>
        <w:ind w:left="0" w:right="0" w:firstLine="141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Following this review, a confidential report is prepared by including state information collected below: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o the origin and destination of money and the purpose of</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o the identity of the originator and the beneficiary or beneficiaries o the characteristics of the operation against the criteria set out</w:t>
      </w:r>
    </w:p>
    <w:p w:rsidR="00000000" w:rsidDel="00000000" w:rsidP="00000000" w:rsidRDefault="00000000" w:rsidRPr="00000000">
      <w:pPr>
        <w:keepNext w:val="0"/>
        <w:keepLines w:val="0"/>
        <w:widowControl w:val="0"/>
        <w:spacing w:after="100" w:before="0" w:line="276" w:lineRule="auto"/>
        <w:ind w:left="0" w:right="0" w:firstLine="36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paragraph 1 of this Article; o if applicable, terms and conditions of operation of accounts (date, origin of the account, agents, accounts without movement).</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This report can not be communicated in any written form or by telephone to confirm in writing within the shortest possible time , at the National Financial Intelligence Unit and the competent supervisory authority, at its request.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31</w:t>
      </w:r>
    </w:p>
    <w:p w:rsidR="00000000" w:rsidDel="00000000" w:rsidP="00000000" w:rsidRDefault="00000000" w:rsidRPr="00000000">
      <w:pPr>
        <w:keepNext w:val="0"/>
        <w:keepLines w:val="0"/>
        <w:widowControl w:val="0"/>
        <w:spacing w:after="100" w:before="0" w:line="276" w:lineRule="auto"/>
        <w:ind w:left="0" w:right="0" w:firstLine="1492.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internal rules under Article 28 of this instruction must specify the procedure in case a sum or surgery seems likely to be the subject of a suspicious transaction report pursuant to Article 20 of Law No. 04/016 of 19 July 2004.</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This procedure should include providing for: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transmission to the designated officer purpose of the operation characteristics already performed or to be performed, in which case the time limit should be specified; - Recording and document retention relating to the operations that led to declaration under the conditions defined by Articles 20 and 21 of Law No. 04/016 of 19 July 2004.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32</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effectiveness of laundering prevention device laundering and terrorist financing must be regularly evaluated, especially in view of the evolution of the institution's activities and trends in money laundering and financing of terrorism.</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It must be reported at least annually to Board the results of the money laundering prevention system and the financing of terrorism.</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All components of this device must also be subject to regular independent audits (including the work of those responsible for prevention money laundering and terrorist financing)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tHE DESIGNATION aND ROLE oFOFFICER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V:.pREVENTION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33</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Taxpayers are required to appoint a person or persons responsible for the prevention of money laundering and terrorist financing in their within or within their group.</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where a taxable person has subsidiaries or branches, it means an official of the fight against money laundering and financing of terrorism competent for the whole group.</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16</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contrast, when the size of a taxable person can not justify entrusting the responsibility of laundering prevention device and terrorist financing in a specially designated, management provides, under the control of the Board, coordinating all arrangements contributing to the carrying out that task.</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These people are responsible for ensuring the coherence and effectiveness of the money laundering prevention system and the financing of terrorism. They are particularly charged: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the establishment of policies and procedures and</w:t>
      </w:r>
    </w:p>
    <w:p w:rsidR="00000000" w:rsidDel="00000000" w:rsidP="00000000" w:rsidRDefault="00000000" w:rsidRPr="00000000">
      <w:pPr>
        <w:keepNext w:val="0"/>
        <w:keepLines w:val="0"/>
        <w:widowControl w:val="0"/>
        <w:spacing w:after="100" w:before="0" w:line="276" w:lineRule="auto"/>
        <w:ind w:left="0" w:right="0" w:firstLine="422.40000000000003"/>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internal controls to be conducted; - The special monitoring of transactions considered atypical; - Centralization of information to identify and prevent the realization of operations related to money laundering and terrorist financing; - Regular information of the hierarchy on the</w:t>
      </w:r>
    </w:p>
    <w:p w:rsidR="00000000" w:rsidDel="00000000" w:rsidP="00000000" w:rsidRDefault="00000000" w:rsidRPr="00000000">
      <w:pPr>
        <w:keepNext w:val="0"/>
        <w:keepLines w:val="0"/>
        <w:widowControl w:val="0"/>
        <w:spacing w:after="100" w:before="0" w:line="276" w:lineRule="auto"/>
        <w:ind w:left="0" w:right="0" w:firstLine="422.40000000000003"/>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riskiest customers;- To ensure that all relevant staff have the knowledge required to exercise appropriate vigilance and, if appropriate, report suspicious transactions.  The relationship between subject, the supervisor and theUnit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-.National Financial Intelligence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34</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officers of the prevention of money laundering and terrorist financing are designated by the governing body of each institution taking including the criteria of good repute, professional experience and moral integrity. The competent supervisory authority and the National Financial Intelligence Unit are informed of their appointment.</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leaders of the fight against money laundering and terrorist financing must be invested adequate hierarchical level and have the resources and independence needed to carry out the tasks assigned to them.</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17</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 this, all their powers and those of their employees must be precisely formalized and prevent any conflict of interest. They must have access to all the information they consider necessary for the performance of their dutiesVI.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AWARENESS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TRAINING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35</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subject must ensure that their staff, directly or indirectly concerned by the implementation of the provisions of this instruction, receives appropriate training.</w:t>
      </w:r>
    </w:p>
    <w:p w:rsidR="00000000" w:rsidDel="00000000" w:rsidP="00000000" w:rsidRDefault="00000000" w:rsidRPr="00000000">
      <w:pPr>
        <w:keepNext w:val="0"/>
        <w:keepLines w:val="0"/>
        <w:widowControl w:val="0"/>
        <w:spacing w:after="100" w:before="0" w:line="276" w:lineRule="auto"/>
        <w:ind w:left="0" w:right="0" w:firstLine="144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content and timing of these must be tailored to the nature of the risks to the subject and the sensitivity of the positions held by . various newly hired employees, recruited for a fixed period and those in contact with customers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36</w:t>
      </w:r>
    </w:p>
    <w:p w:rsidR="00000000" w:rsidDel="00000000" w:rsidP="00000000" w:rsidRDefault="00000000" w:rsidRPr="00000000">
      <w:pPr>
        <w:keepNext w:val="0"/>
        <w:keepLines w:val="0"/>
        <w:widowControl w:val="0"/>
        <w:spacing w:after="100" w:before="0" w:line="276" w:lineRule="auto"/>
        <w:ind w:left="0" w:right="0" w:firstLine="144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training, awareness and regular information for staff aim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acquire the knowledge and develop the critically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needed to detect atypical transactions;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control procedures necessary to respond effectively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such operationsVII.</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sANCTIONS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37</w:t>
      </w:r>
    </w:p>
    <w:p w:rsidR="00000000" w:rsidDel="00000000" w:rsidP="00000000" w:rsidRDefault="00000000" w:rsidRPr="00000000">
      <w:pPr>
        <w:keepNext w:val="0"/>
        <w:keepLines w:val="0"/>
        <w:widowControl w:val="0"/>
        <w:spacing w:after="100" w:before="0" w:line="276" w:lineRule="auto"/>
        <w:ind w:left="0" w:right="0" w:firstLine="1315.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Without prejudice to the sanctions provided for by title IV of Law No. 04/016 of 19 July 2004, the Central Bank may, in case of non compliance with this instruction by subject, impose one of the disciplinary sanctions provided for by Article 77 of Law No. 003/2002 of 2 February 2002 on . activity and control of establishments of credit and under its Tariffs and Conditions</w:t>
      </w:r>
    </w:p>
    <w:p w:rsidR="00000000" w:rsidDel="00000000" w:rsidP="00000000" w:rsidRDefault="00000000" w:rsidRPr="00000000">
      <w:pPr>
        <w:keepNext w:val="0"/>
        <w:keepLines w:val="0"/>
        <w:widowControl w:val="0"/>
        <w:spacing w:after="100" w:before="0" w:line="276" w:lineRule="auto"/>
        <w:ind w:left="0" w:right="0" w:firstLine="1401.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addition, the Central Bank of Congo may, instead or in addition to these sanctions: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 an administrative sanction that can not less than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5000 and greater than 100,000 US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dollars.2) proceed with the publication of the sanction imposed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38</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case of repetition, the disciplinary sanction pronounced hierarchically higher than previously will be appliedsanctions.</w:t>
      </w:r>
    </w:p>
    <w:p w:rsidR="00000000" w:rsidDel="00000000" w:rsidP="00000000" w:rsidRDefault="00000000" w:rsidRPr="00000000">
      <w:pPr>
        <w:keepNext w:val="0"/>
        <w:keepLines w:val="0"/>
        <w:widowControl w:val="0"/>
        <w:spacing w:after="100" w:before="0" w:line="276" w:lineRule="auto"/>
        <w:ind w:left="0" w:right="0" w:firstLine="1315.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by cons, with regard to  administrative, double the amount provided in the preceding Article will be appliedVIII.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TITLE  FINAL PROVISIONS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39</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taxable persons must, within six months from the publication of this statement, update the files on the identification of their customers.</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19</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Article 40</w:t>
      </w:r>
    </w:p>
    <w:p w:rsidR="00000000" w:rsidDel="00000000" w:rsidP="00000000" w:rsidRDefault="00000000" w:rsidRPr="00000000">
      <w:pPr>
        <w:keepNext w:val="0"/>
        <w:keepLines w:val="0"/>
        <w:widowControl w:val="0"/>
        <w:spacing w:after="100" w:before="0" w:line="276" w:lineRule="auto"/>
        <w:ind w:left="0" w:right="0" w:firstLine="141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this Directive shall enter into force on the date of signature and repeals all previous provisions contrary to 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Done at Kinshasa, December 15 2006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32"/>
          <w:szCs w:val="32"/>
          <w:u w:val="none"/>
          <w:vertAlign w:val="baseline"/>
          <w:rtl w:val="0"/>
        </w:rPr>
        <w:t xml:space="preserve">AD. MASANGU MULONGO</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